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6" w:rsidRPr="001A641C" w:rsidRDefault="001A641C">
      <w:pPr>
        <w:rPr>
          <w:rFonts w:ascii="Arial" w:hAnsi="Arial" w:cs="Arial"/>
          <w:b/>
        </w:rPr>
      </w:pPr>
      <w:r w:rsidRPr="001A641C">
        <w:rPr>
          <w:rFonts w:ascii="Arial" w:hAnsi="Arial" w:cs="Arial"/>
          <w:b/>
        </w:rPr>
        <w:t>Respostas referente ao Concurso Público.</w:t>
      </w:r>
      <w:bookmarkStart w:id="0" w:name="_GoBack"/>
      <w:bookmarkEnd w:id="0"/>
    </w:p>
    <w:p w:rsidR="001A641C" w:rsidRPr="001A641C" w:rsidRDefault="001A641C">
      <w:pPr>
        <w:rPr>
          <w:rFonts w:ascii="Arial" w:hAnsi="Arial" w:cs="Arial"/>
        </w:rPr>
      </w:pPr>
      <w:r w:rsidRPr="001A641C">
        <w:rPr>
          <w:rFonts w:ascii="Arial" w:hAnsi="Arial" w:cs="Arial"/>
        </w:rPr>
        <w:t xml:space="preserve">Todas as informações referentes ao Concurso Público da Câmara Municipal de Salgueiro poderão ser acompanhadas pelo site oficial da Câmara, através do link: </w:t>
      </w:r>
    </w:p>
    <w:p w:rsidR="001A641C" w:rsidRPr="001A641C" w:rsidRDefault="001A641C">
      <w:pPr>
        <w:rPr>
          <w:rFonts w:ascii="Arial" w:hAnsi="Arial" w:cs="Arial"/>
        </w:rPr>
      </w:pPr>
      <w:r>
        <w:rPr>
          <w:rFonts w:ascii="Arial" w:hAnsi="Arial" w:cs="Arial"/>
        </w:rPr>
        <w:t>https://www.salgueiro</w:t>
      </w:r>
      <w:r w:rsidRPr="001A641C">
        <w:rPr>
          <w:rFonts w:ascii="Arial" w:hAnsi="Arial" w:cs="Arial"/>
        </w:rPr>
        <w:t>.pe.leg.br</w:t>
      </w:r>
    </w:p>
    <w:sectPr w:rsidR="001A641C" w:rsidRPr="001A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1C"/>
    <w:rsid w:val="001A641C"/>
    <w:rsid w:val="002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C4A1"/>
  <w15:chartTrackingRefBased/>
  <w15:docId w15:val="{66927962-70B4-440A-8F7F-7EE2A82B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6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2021-05-04T12:18:00Z</dcterms:created>
  <dcterms:modified xsi:type="dcterms:W3CDTF">2021-05-04T12:22:00Z</dcterms:modified>
</cp:coreProperties>
</file>